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6B" w:rsidRPr="00107A6B" w:rsidRDefault="00107A6B" w:rsidP="00D079E3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  <w:bookmarkStart w:id="0" w:name="_GoBack"/>
      <w:bookmarkEnd w:id="0"/>
      <w:r w:rsidRPr="00107A6B"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fr-FR"/>
        </w:rPr>
        <w:t>وزارة إعداد التراب الوطني والتعمير والإسكان  وسياسة المدينة تصدر دليلا متعلقا  بتدبير مخاطر انتشار</w:t>
      </w:r>
      <w:r w:rsidRPr="00D079E3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fr-FR"/>
        </w:rPr>
        <w:t>"</w:t>
      </w:r>
      <w:r w:rsidRPr="00107A6B"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fr-FR"/>
        </w:rPr>
        <w:t xml:space="preserve"> كوفيد-19</w:t>
      </w:r>
      <w:r w:rsidRPr="00D079E3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fr-FR"/>
        </w:rPr>
        <w:t xml:space="preserve">" </w:t>
      </w:r>
      <w:r w:rsidRPr="00107A6B"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fr-FR"/>
        </w:rPr>
        <w:t>في أماكن العمل بقطاع السكن والبناء</w:t>
      </w:r>
    </w:p>
    <w:p w:rsidR="00107A6B" w:rsidRPr="00107A6B" w:rsidRDefault="00107A6B" w:rsidP="00107A6B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107A6B" w:rsidRPr="00107A6B" w:rsidRDefault="00107A6B" w:rsidP="00107A6B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fr-FR"/>
        </w:rPr>
        <w:t xml:space="preserve">    </w:t>
      </w:r>
      <w:r w:rsidRPr="00107A6B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>في إطار مجهوداتها الهادفة إلى مواكبة المهنيين من أجل  ضمان الاستمرارية واستئناف  الأشغال في قطاع البناء والعقار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fr-FR"/>
        </w:rPr>
        <w:t xml:space="preserve">، </w:t>
      </w:r>
      <w:r w:rsidRPr="00107A6B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>أصدرت وزارة إعداد التراب الوطني والتعمير والإسكان وسياسة المدينة، بتشاور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fr-FR"/>
        </w:rPr>
        <w:t xml:space="preserve"> </w:t>
      </w:r>
      <w:r w:rsidRPr="00107A6B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 xml:space="preserve">مع مجموع </w:t>
      </w:r>
      <w:proofErr w:type="spellStart"/>
      <w:r w:rsidRPr="00107A6B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>مهنيي</w:t>
      </w:r>
      <w:proofErr w:type="spellEnd"/>
      <w:r w:rsidRPr="00107A6B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 xml:space="preserve"> القطاع،  دليلا متعلقا بتدبير مخاطر انتشار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fr-FR"/>
        </w:rPr>
        <w:t>"</w:t>
      </w:r>
      <w:r w:rsidRPr="00107A6B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 xml:space="preserve">كوفيد-19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fr-FR"/>
        </w:rPr>
        <w:t>"</w:t>
      </w:r>
      <w:r w:rsidRPr="00107A6B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>في أماكن العمل بقطاع السكن والبناء</w:t>
      </w:r>
      <w:r w:rsidRPr="00107A6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 </w:t>
      </w:r>
    </w:p>
    <w:p w:rsidR="00107A6B" w:rsidRPr="00107A6B" w:rsidRDefault="00107A6B" w:rsidP="00107A6B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107A6B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>وبهذا الخصوص، قالت السيدة نزهة بوشارب،  وزيرة إعداد التراب الوطني والتعمير والإسكان  وسياسة المدينة "لقد أعددنا</w:t>
      </w:r>
      <w:r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 xml:space="preserve"> هذا الدليل بتشاور مع المتدخلين</w:t>
      </w:r>
      <w:r w:rsidRPr="00107A6B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 xml:space="preserve"> في مختلف مراحل سلسلة قطاع البناء</w:t>
      </w:r>
      <w:r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>، بهدف أن</w:t>
      </w:r>
      <w:r w:rsidRPr="00107A6B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 xml:space="preserve"> يتم استئناف النشاط  في الأوراش وفق  القواعد المعمول بها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fr-FR"/>
        </w:rPr>
        <w:t xml:space="preserve">، </w:t>
      </w:r>
      <w:r w:rsidRPr="00107A6B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>في تقيد تام بالشروط الصحية الكفيلة بحماية السلامة الصحية للعمال والمهنيين، باعتبار ذلك مسألة أولوية تتصدر انشغالاتنا</w:t>
      </w:r>
      <w:r w:rsidRPr="00107A6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".</w:t>
      </w:r>
    </w:p>
    <w:p w:rsidR="00107A6B" w:rsidRPr="00107A6B" w:rsidRDefault="00107A6B" w:rsidP="00107A6B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fr-FR"/>
        </w:rPr>
        <w:t xml:space="preserve">    </w:t>
      </w:r>
      <w:r w:rsidRPr="00107A6B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 xml:space="preserve">هذا ويحدد هذا الدليل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fr-FR"/>
        </w:rPr>
        <w:t>المبادئ</w:t>
      </w:r>
      <w:r w:rsidRPr="00107A6B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 xml:space="preserve"> التوجيهية والتوصيات الموجهة خصوصا  إلى </w:t>
      </w:r>
      <w:proofErr w:type="spellStart"/>
      <w:r w:rsidRPr="00107A6B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>مهنيي</w:t>
      </w:r>
      <w:proofErr w:type="spellEnd"/>
      <w:r w:rsidRPr="00107A6B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 xml:space="preserve"> القطاع  الملزمين  بالعمل في أوراش البناء والمصانع ووحدات الإنتاج والبنايات  الإدارية  والمكاتب  وغيرها.  وتندرج هذه ا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fr-FR"/>
        </w:rPr>
        <w:t>لمبادئ</w:t>
      </w:r>
      <w:r w:rsidRPr="00107A6B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 xml:space="preserve"> التوجيهية في سياق تعزيز  التعليمات الصادرة عن وزارة الصحة ووزارة الشغل وال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fr-FR"/>
        </w:rPr>
        <w:t>إ</w:t>
      </w:r>
      <w:r w:rsidRPr="00107A6B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>دماج  المهني الهادفة إلى مصاحبة  المهني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fr-FR"/>
        </w:rPr>
        <w:t>ين</w:t>
      </w:r>
      <w:r w:rsidRPr="00107A6B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 xml:space="preserve"> في تدبير مخاطر انتشار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fr-FR"/>
        </w:rPr>
        <w:t>"</w:t>
      </w:r>
      <w:r w:rsidRPr="00107A6B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>كوفيد-19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fr-FR"/>
        </w:rPr>
        <w:t>"</w:t>
      </w:r>
      <w:r w:rsidRPr="00107A6B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 xml:space="preserve"> في أماكن  العمل بقطاع البناء والحفاظ على صحة وسلامة المستخدمين</w:t>
      </w:r>
      <w:r w:rsidRPr="00107A6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.</w:t>
      </w:r>
    </w:p>
    <w:p w:rsidR="00107A6B" w:rsidRPr="00107A6B" w:rsidRDefault="00107A6B" w:rsidP="00107A6B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fr-FR"/>
        </w:rPr>
        <w:t xml:space="preserve">    </w:t>
      </w:r>
      <w:r w:rsidRPr="00107A6B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>وفي سياق متصل،  قالت  السيدة نزهة بوشارب إن "الحفاظ على الصحة والسلامة في اوراش العمل، يجب أن يتم ضمان ذلك عبر مساطر  ملائمة تراعي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fr-FR"/>
        </w:rPr>
        <w:t xml:space="preserve"> إشارات الحواجز </w:t>
      </w:r>
      <w:r w:rsidRPr="00107A6B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>واحترام مسافات التباعد بين العمال"، مضيفة  أن  ذلك" يستلزم أيضا مراجعة طرق الاشتغال التي يمكن لكل فاعل من الفاعلين اعتمادها من أجل  استمرارية  الأنشطة</w:t>
      </w:r>
      <w:r w:rsidRPr="00107A6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".</w:t>
      </w:r>
    </w:p>
    <w:p w:rsidR="00107A6B" w:rsidRPr="00107A6B" w:rsidRDefault="00107A6B" w:rsidP="00107A6B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fr-FR"/>
        </w:rPr>
        <w:t xml:space="preserve">    </w:t>
      </w:r>
      <w:r w:rsidRPr="00107A6B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>تجدر الإشارة  إلى أن هذا الدليل الصادر باللغتين  العربية والفرنسية،  مرفق بدعامات تواصلية  خاصة ب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fr-FR"/>
        </w:rPr>
        <w:t>أ</w:t>
      </w:r>
      <w:r w:rsidRPr="00107A6B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 xml:space="preserve">وراش  البناء، وهو موجه إلى المشغلين مع توصيات عملية توجههم  بشأن إجراءات  تدبير مخاطر انتشار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fr-FR"/>
        </w:rPr>
        <w:t>"</w:t>
      </w:r>
      <w:r w:rsidRPr="00107A6B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>كوفيد-19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fr-FR"/>
        </w:rPr>
        <w:t>"</w:t>
      </w:r>
      <w:r w:rsidRPr="00107A6B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 xml:space="preserve">،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fr-FR"/>
        </w:rPr>
        <w:t xml:space="preserve">وتهم </w:t>
      </w:r>
      <w:r w:rsidRPr="00107A6B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>:"التواصل وتحسيس  المستخدمين "،" الوقاية، التطهير والتعقيم  المنتظم  ل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fr-FR"/>
        </w:rPr>
        <w:t>أ</w:t>
      </w:r>
      <w:r w:rsidRPr="00107A6B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>ماكن العمل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fr-FR"/>
        </w:rPr>
        <w:t>"</w:t>
      </w:r>
      <w:r w:rsidR="00D079E3">
        <w:rPr>
          <w:rFonts w:ascii="Arial" w:eastAsia="Times New Roman" w:hAnsi="Arial" w:cs="Arial" w:hint="cs"/>
          <w:color w:val="222222"/>
          <w:sz w:val="24"/>
          <w:szCs w:val="24"/>
          <w:rtl/>
          <w:lang w:eastAsia="fr-FR"/>
        </w:rPr>
        <w:t xml:space="preserve"> </w:t>
      </w:r>
      <w:r w:rsidRPr="00107A6B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>،"تدبير الولوج إلى أماكن العمل " ،"برمجة الأنشطة والعمليات "،"تسليم الطلبيات"، "التنقل"،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fr-FR"/>
        </w:rPr>
        <w:t xml:space="preserve"> </w:t>
      </w:r>
      <w:r w:rsidRPr="00107A6B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>"كشف حالة إصابة إيجابية في أماكن  العمل</w:t>
      </w:r>
      <w:r w:rsidRPr="00107A6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".</w:t>
      </w:r>
    </w:p>
    <w:p w:rsidR="00107A6B" w:rsidRPr="00107A6B" w:rsidRDefault="00107A6B" w:rsidP="00107A6B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107A6B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 xml:space="preserve">هذه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fr-FR"/>
        </w:rPr>
        <w:t>المبادئ</w:t>
      </w:r>
      <w:r w:rsidRPr="00107A6B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 xml:space="preserve"> التوجيهية ليست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fr-FR"/>
        </w:rPr>
        <w:t xml:space="preserve"> شمولية مقيدة ،</w:t>
      </w:r>
      <w:r w:rsidR="00D57F22">
        <w:rPr>
          <w:rFonts w:ascii="Arial" w:eastAsia="Times New Roman" w:hAnsi="Arial" w:cs="Arial" w:hint="cs"/>
          <w:color w:val="222222"/>
          <w:sz w:val="24"/>
          <w:szCs w:val="24"/>
          <w:rtl/>
          <w:lang w:eastAsia="fr-FR"/>
        </w:rPr>
        <w:t xml:space="preserve"> </w:t>
      </w:r>
      <w:r w:rsidRPr="00107A6B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 xml:space="preserve">بل هي قابلة 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fr-FR"/>
        </w:rPr>
        <w:t>للم</w:t>
      </w:r>
      <w:r w:rsidRPr="00107A6B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>لاءمة  مع طبيعة مكان العمل ،</w:t>
      </w:r>
      <w:r w:rsidR="00D57F22">
        <w:rPr>
          <w:rFonts w:ascii="Arial" w:eastAsia="Times New Roman" w:hAnsi="Arial" w:cs="Arial" w:hint="cs"/>
          <w:color w:val="222222"/>
          <w:sz w:val="24"/>
          <w:szCs w:val="24"/>
          <w:rtl/>
          <w:lang w:eastAsia="fr-FR"/>
        </w:rPr>
        <w:t xml:space="preserve"> </w:t>
      </w:r>
      <w:r w:rsidRPr="00107A6B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>كما يجب تحيينها  وفق تطور جائحة  كوفيد-19</w:t>
      </w:r>
      <w:r w:rsidRPr="00107A6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</w:p>
    <w:p w:rsidR="00107A6B" w:rsidRDefault="00D079E3" w:rsidP="00107A6B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 w:hint="cs"/>
          <w:color w:val="222222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fr-FR"/>
        </w:rPr>
        <w:t xml:space="preserve">    </w:t>
      </w:r>
      <w:r w:rsidR="00107A6B" w:rsidRPr="00107A6B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 xml:space="preserve">يشار </w:t>
      </w:r>
      <w:proofErr w:type="gramStart"/>
      <w:r w:rsidR="00107A6B" w:rsidRPr="00107A6B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>إلى</w:t>
      </w:r>
      <w:proofErr w:type="gramEnd"/>
      <w:r w:rsidR="00107A6B" w:rsidRPr="00107A6B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 xml:space="preserve"> أن هذا الدليل موجود على الموقع الإلكتروني للوزارة من خلال هذه الروابط</w:t>
      </w:r>
      <w:r w:rsidR="00107A6B" w:rsidRPr="00107A6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:</w:t>
      </w:r>
    </w:p>
    <w:p w:rsidR="00D079E3" w:rsidRPr="00107A6B" w:rsidRDefault="00D079E3" w:rsidP="00D079E3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</w:tblGrid>
      <w:tr w:rsidR="00D57F22" w:rsidRPr="00107A6B" w:rsidTr="00D57F22">
        <w:tc>
          <w:tcPr>
            <w:tcW w:w="9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D57F22" w:rsidRPr="00107A6B" w:rsidRDefault="00D57F22" w:rsidP="00107A6B">
            <w:pPr>
              <w:bidi/>
              <w:spacing w:after="0" w:line="240" w:lineRule="auto"/>
              <w:jc w:val="both"/>
              <w:rPr>
                <w:rFonts w:ascii="Helvetica" w:eastAsia="Times New Roman" w:hAnsi="Helvetica" w:cs="Times New Roman"/>
                <w:sz w:val="24"/>
                <w:szCs w:val="24"/>
                <w:lang w:eastAsia="fr-FR"/>
              </w:rPr>
            </w:pPr>
          </w:p>
        </w:tc>
      </w:tr>
    </w:tbl>
    <w:p w:rsidR="00D079E3" w:rsidRPr="00D079E3" w:rsidRDefault="00D079E3" w:rsidP="00D079E3">
      <w:pPr>
        <w:rPr>
          <w:rFonts w:ascii="Calibri" w:hAnsi="Calibri" w:cs="Calibri" w:hint="cs"/>
          <w:b/>
          <w:sz w:val="18"/>
          <w:szCs w:val="18"/>
          <w:rtl/>
          <w:lang w:bidi="ar-MA"/>
        </w:rPr>
      </w:pPr>
      <w:r w:rsidRPr="00D079E3">
        <w:rPr>
          <w:rFonts w:ascii="Calibri" w:hAnsi="Calibri" w:cs="Calibri"/>
          <w:b/>
          <w:sz w:val="18"/>
          <w:szCs w:val="18"/>
        </w:rPr>
        <w:t>http://www.mhpv.gov.ma/?news=le-ministere-de-lamenagement-du-territoire-national-de-lurbanisme-de-lhabitat-et-de-la-politique-de-la-ville-publie-un-guide-relatif-a-la-gestion-du-risque-de-propagation-du-covid-19-dans-les</w:t>
      </w:r>
    </w:p>
    <w:p w:rsidR="00D079E3" w:rsidRPr="00D079E3" w:rsidRDefault="00D079E3" w:rsidP="00D079E3">
      <w:pPr>
        <w:jc w:val="center"/>
        <w:rPr>
          <w:rFonts w:ascii="Calibri" w:hAnsi="Calibri" w:cs="Calibri"/>
          <w:b/>
          <w:sz w:val="18"/>
          <w:szCs w:val="18"/>
          <w:lang w:bidi="ar-MA"/>
        </w:rPr>
      </w:pPr>
      <w:r w:rsidRPr="00D079E3">
        <w:rPr>
          <w:rFonts w:ascii="Calibri" w:hAnsi="Calibri" w:cs="Calibri" w:hint="cs"/>
          <w:b/>
          <w:sz w:val="18"/>
          <w:szCs w:val="18"/>
          <w:rtl/>
        </w:rPr>
        <w:t>أو</w:t>
      </w:r>
    </w:p>
    <w:p w:rsidR="00D079E3" w:rsidRPr="00D079E3" w:rsidRDefault="00D079E3" w:rsidP="00D079E3">
      <w:pPr>
        <w:rPr>
          <w:rFonts w:ascii="Calibri" w:hAnsi="Calibri" w:cs="Calibri"/>
          <w:b/>
          <w:sz w:val="18"/>
          <w:szCs w:val="18"/>
        </w:rPr>
      </w:pPr>
      <w:r w:rsidRPr="00D079E3">
        <w:rPr>
          <w:rFonts w:ascii="Calibri" w:hAnsi="Calibri" w:cs="Calibri"/>
          <w:b/>
          <w:sz w:val="18"/>
          <w:szCs w:val="18"/>
        </w:rPr>
        <w:t>http://www.muat.gov.ma/sites/default/files/Communiques/Guide_COVID19.pdf</w:t>
      </w:r>
    </w:p>
    <w:p w:rsidR="00107A6B" w:rsidRPr="00D079E3" w:rsidRDefault="00107A6B" w:rsidP="00107A6B">
      <w:pPr>
        <w:bidi/>
        <w:jc w:val="both"/>
        <w:rPr>
          <w:b/>
          <w:sz w:val="18"/>
          <w:szCs w:val="18"/>
          <w:lang w:bidi="ar-MA"/>
        </w:rPr>
      </w:pPr>
    </w:p>
    <w:sectPr w:rsidR="00107A6B" w:rsidRPr="00D07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F4"/>
    <w:rsid w:val="000B5D6E"/>
    <w:rsid w:val="00107A6B"/>
    <w:rsid w:val="001D7812"/>
    <w:rsid w:val="00201457"/>
    <w:rsid w:val="00582E25"/>
    <w:rsid w:val="00794FF4"/>
    <w:rsid w:val="0081002D"/>
    <w:rsid w:val="00B057F4"/>
    <w:rsid w:val="00D079E3"/>
    <w:rsid w:val="00D57F22"/>
    <w:rsid w:val="00F7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ms">
    <w:name w:val="ams"/>
    <w:basedOn w:val="Policepardfaut"/>
    <w:rsid w:val="00107A6B"/>
  </w:style>
  <w:style w:type="paragraph" w:styleId="Textedebulles">
    <w:name w:val="Balloon Text"/>
    <w:basedOn w:val="Normal"/>
    <w:link w:val="TextedebullesCar"/>
    <w:uiPriority w:val="99"/>
    <w:semiHidden/>
    <w:unhideWhenUsed/>
    <w:rsid w:val="0010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7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ms">
    <w:name w:val="ams"/>
    <w:basedOn w:val="Policepardfaut"/>
    <w:rsid w:val="00107A6B"/>
  </w:style>
  <w:style w:type="paragraph" w:styleId="Textedebulles">
    <w:name w:val="Balloon Text"/>
    <w:basedOn w:val="Normal"/>
    <w:link w:val="TextedebullesCar"/>
    <w:uiPriority w:val="99"/>
    <w:semiHidden/>
    <w:unhideWhenUsed/>
    <w:rsid w:val="0010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7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70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8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4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44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57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91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1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56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5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1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3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3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6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3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</cp:revision>
  <dcterms:created xsi:type="dcterms:W3CDTF">2020-05-09T21:48:00Z</dcterms:created>
  <dcterms:modified xsi:type="dcterms:W3CDTF">2020-05-09T21:54:00Z</dcterms:modified>
</cp:coreProperties>
</file>